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【对外】返点API应用场景介绍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背景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代理商需要在平台核算返点后对返点金额进行对账（即「返点核算确认」环节），当前返点类型多且数据量大，代理商在返点对账过程中需花费较多精力在数据整理、人工校对等环节，</w:t>
      </w:r>
      <w:r>
        <w:rPr>
          <w:rFonts w:eastAsia="等线" w:ascii="Arial" w:cs="Arial" w:hAnsi="Arial"/>
          <w:b w:val="true"/>
          <w:sz w:val="22"/>
        </w:rPr>
        <w:t>希望通过API的方式提供返点核算过程及结果数据，帮助代理商提高返点对账效率，同时支持代理进行返点相关过程管理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6243"/>
        <w:gridCol w:w="2036"/>
      </w:tblGrid>
      <w:tr>
        <w:tc>
          <w:tcPr>
            <w:tcW w:w="624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810000" cy="904875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t>代理商返点结算过程</w:t>
              <w:br/>
            </w:r>
          </w:p>
        </w:tc>
        <w:tc>
          <w:tcPr>
            <w:tcW w:w="203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33475" cy="847725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t>25年返点类型</w:t>
              <w:br/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能力介绍</w:t>
      </w:r>
      <w:bookmarkEnd w:id="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525"/>
        <w:gridCol w:w="1260"/>
        <w:gridCol w:w="2850"/>
        <w:gridCol w:w="1470"/>
        <w:gridCol w:w="2175"/>
      </w:tblGrid>
      <w:tr>
        <w:tc>
          <w:tcPr>
            <w:tcW w:w="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序号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接口名称</w:t>
            </w:r>
          </w:p>
        </w:tc>
        <w:tc>
          <w:tcPr>
            <w:tcW w:w="28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接口数据对应的返点平台及类型</w:t>
            </w:r>
          </w:p>
        </w:tc>
        <w:tc>
          <w:tcPr>
            <w:tcW w:w="1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数据对应的方舟板块</w:t>
            </w:r>
          </w:p>
        </w:tc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接口文档</w:t>
            </w:r>
          </w:p>
        </w:tc>
      </w:tr>
      <w:tr>
        <w:tc>
          <w:tcPr>
            <w:tcW w:w="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返点核算流水API</w:t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8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平台：AD、千川、本地推、星图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类型：全量返点及激励核算单</w:t>
            </w:r>
          </w:p>
        </w:tc>
        <w:tc>
          <w:tcPr>
            <w:tcW w:w="1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781050" cy="190500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8">
              <w:r>
                <w:rPr>
                  <w:rFonts w:eastAsia="等线" w:ascii="Arial" w:cs="Arial" w:hAnsi="Arial"/>
                  <w:color w:val="3370ff"/>
                  <w:sz w:val="22"/>
                </w:rPr>
                <w:t>返点结算API接口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返点流水API</w:t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8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平台：AD、千川、本地推、星图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类型：全量返点及激励结算单</w:t>
            </w:r>
          </w:p>
        </w:tc>
        <w:tc>
          <w:tcPr>
            <w:tcW w:w="1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781050" cy="190500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0">
              <w:r>
                <w:rPr>
                  <w:rFonts w:eastAsia="等线" w:ascii="Arial" w:cs="Arial" w:hAnsi="Arial"/>
                  <w:color w:val="3370ff"/>
                  <w:sz w:val="22"/>
                </w:rPr>
                <w:t>返点结算API接口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返点核算明细API</w:t>
            </w:r>
          </w:p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8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平台：AD、本地推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类型：</w:t>
            </w:r>
          </w:p>
          <w:p>
            <w:pPr>
              <w:numPr>
                <w:numId w:val="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竞价：基础返点、经营返点（不含付款担保）</w:t>
            </w:r>
          </w:p>
          <w:p>
            <w:pPr>
              <w:numPr>
                <w:numId w:val="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品牌：基础返点、季度返点（不含闭环开屏）</w:t>
            </w:r>
          </w:p>
        </w:tc>
        <w:tc>
          <w:tcPr>
            <w:tcW w:w="1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781050" cy="61912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3">
              <w:r>
                <w:rPr>
                  <w:rFonts w:eastAsia="等线" w:ascii="Arial" w:cs="Arial" w:hAnsi="Arial"/>
                  <w:color w:val="3370ff"/>
                  <w:sz w:val="22"/>
                </w:rPr>
                <w:t>返点核算明细查询API接口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12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返点明点素材API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8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平台：AD、本地推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类型：</w:t>
            </w:r>
          </w:p>
          <w:p>
            <w:pPr>
              <w:numPr>
                <w:numId w:val="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竞价：运营返点（首发、优质、直播）</w:t>
            </w:r>
          </w:p>
        </w:tc>
        <w:tc>
          <w:tcPr>
            <w:tcW w:w="1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781050" cy="49530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5">
              <w:r>
                <w:rPr>
                  <w:rFonts w:eastAsia="等线" w:ascii="Arial" w:cs="Arial" w:hAnsi="Arial"/>
                  <w:color w:val="3370ff"/>
                  <w:sz w:val="22"/>
                </w:rPr>
                <w:t>25年返点明点化素材查询API接口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使用场景</w:t>
      </w:r>
      <w:bookmarkEnd w:id="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代理商返点收入统计</w:t>
      </w:r>
      <w:bookmarkEnd w:id="3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通过返点核算明细API（接口3）及返点明点素材API（接口4）可获取对应类型的返点金额，数据汇总后即为整个代理集团某个周期内返点收入，具体如下：</w:t>
            </w:r>
          </w:p>
          <w:tbl>
            <w:tblPr>
              <w:tblW w:w="0" w:type="auto"/>
              <w:tblInd w:w="0" w:type="dxa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  <w:tblLayout w:type="fixed"/>
            </w:tblPr>
            <w:tblGrid>
              <w:gridCol w:w="8040"/>
            </w:tblGrid>
            <w:tr>
              <w:tc>
                <w:tcPr>
                  <w:tcW w:w="8040" w:type="dxa"/>
                  <w:tcBorders>
                    <w:top w:val="nil"/>
                    <w:left w:sz="18" w:val="single" w:color="BBBFC4"/>
                    <w:bottom w:val="nil"/>
                    <w:right w:val="nil"/>
                  </w:tcBorders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color w:val="646a73"/>
                      <w:sz w:val="22"/>
                    </w:rPr>
                    <w:t>返点核算明细API（接口3）：获取「竞价基础&amp;竞价经营（不含付款担保）&amp;品牌基础&amp;品牌季度（不含闭环开屏）」各类返点金额，粒度为代理商主体维度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color w:val="646a73"/>
                      <w:sz w:val="22"/>
                    </w:rPr>
                    <w:t>返点明点素材API（接口4）：获取「竞价运营（首发&amp;优质&amp;直播）」返点金额，粒度为广告主账户维度</w:t>
                  </w:r>
                </w:p>
              </w:tc>
            </w:tr>
          </w:tbl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u w:val="single"/>
                <w:shd w:fill="fff67a"/>
              </w:rPr>
              <w:t>特别说明：受行业/运营标签等因素存在变化影响，返点金额与最终结果可能会有差异，在平台未核算前返点金额仅为预估值，最终以平台核算结果为准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" w:id="4"/>
      <w:r>
        <w:rPr>
          <w:rFonts w:eastAsia="等线" w:ascii="Arial" w:cs="Arial" w:hAnsi="Arial"/>
          <w:b w:val="true"/>
          <w:sz w:val="28"/>
        </w:rPr>
        <w:t>获取「竞价基础&amp;竞价经营&amp;品牌基础&amp;品牌季度」返点金额</w:t>
      </w:r>
      <w:bookmarkEnd w:id="4"/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</w:p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创建下载任务：</w:t>
      </w:r>
      <w:r>
        <w:rPr>
          <w:rFonts w:eastAsia="等线" w:ascii="Arial" w:cs="Arial" w:hAnsi="Arial"/>
          <w:sz w:val="22"/>
        </w:rPr>
        <w:t>https://open.oceanengine.com/labels/7/docs/1812970751420483?origin=left_nav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查询下载任务：</w:t>
      </w:r>
      <w:r>
        <w:rPr>
          <w:rFonts w:eastAsia="等线" w:ascii="Arial" w:cs="Arial" w:hAnsi="Arial"/>
          <w:sz w:val="22"/>
        </w:rPr>
        <w:t>https://open.oceanengine.com/labels/7/docs/1818837922277385?origin=left_nav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下载任务结果：</w:t>
      </w:r>
      <w:r>
        <w:rPr>
          <w:rFonts w:eastAsia="等线" w:ascii="Arial" w:cs="Arial" w:hAnsi="Arial"/>
          <w:sz w:val="22"/>
        </w:rPr>
        <w:t>https://open.oceanengine.com/labels/7/docs/1818838139772251?origin=left_nav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入参条件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75"/>
        <w:gridCol w:w="1800"/>
        <w:gridCol w:w="4155"/>
      </w:tblGrid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字段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代理商帐户id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query_type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quarter_rebate_details</w:t>
            </w:r>
            <w:r>
              <w:rPr>
                <w:rFonts w:eastAsia="等线" w:ascii="Arial" w:cs="Arial" w:hAnsi="Arial"/>
                <w:sz w:val="22"/>
              </w:rPr>
              <w:t>核算明细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filtering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过滤条件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year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结算年份，如2025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month_quarter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结算季度，支持批量，多个用英文逗号隔开，如'1,2,3,4'</w:t>
            </w:r>
          </w:p>
        </w:tc>
      </w:tr>
    </w:tbl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关键使用字段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050"/>
        <w:gridCol w:w="3450"/>
        <w:gridCol w:w="3315"/>
      </w:tblGrid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维度/指标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rebate_calc_attribution_year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结算年份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rebate_calc_attribution_quarter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结算周期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agent_group_name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代理商集团名称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agent_company_name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代理商公司名称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ip_type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结算IP类型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spec_brand_product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结算品牌特定产品类型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is_cal_customer_expansion_cost_rebate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是否结算品牌客户拓新返点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rebate_calc_policy_type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(季度)返点核算政策类型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rebate_calc_type_show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(季度)披露标签名称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performance_cost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业绩消耗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bid_base_reabte_amount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竞价基础返点（金额）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bid_type_rebate_normal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竞价资金类型返点-常规部分(金额)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bid_risk_control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竞价风控返点(金额)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quarter_brand_base_rebate_amount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品牌基础返点(金额)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brand_special_product_rebate_amount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品牌特定产品返点-不含闭环开屏(金额)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ip_rebate_amount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IP返点(金额)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brand_customer_expansion_rebate_amount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品牌客户拓新返点(金额)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vehicle_high_cost_rebate_amount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竞价首发素材占比返点-汽车政策(金额)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vehicle_high_cost_rebate_amount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竞价优质素材占比返点-汽车政策(金额)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other_rebate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其他返点(金额)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normal_quarter_base_metric_rebate_amount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附:季度累计发放竞价基础返点金额(含月度结算)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" w:id="5"/>
      <w:r>
        <w:rPr>
          <w:rFonts w:eastAsia="等线" w:ascii="Arial" w:cs="Arial" w:hAnsi="Arial"/>
          <w:b w:val="true"/>
          <w:sz w:val="28"/>
        </w:rPr>
        <w:t>获取「竞价运营」返点金额</w:t>
      </w:r>
      <w:bookmarkEnd w:id="5"/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创建下载任务：</w:t>
      </w:r>
      <w:r>
        <w:rPr>
          <w:rFonts w:eastAsia="等线" w:ascii="Arial" w:cs="Arial" w:hAnsi="Arial"/>
          <w:sz w:val="22"/>
        </w:rPr>
        <w:t>https://open.oceanengine.com/labels/7/docs/1819289415886986?origin=left_nav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查询下载任务：</w:t>
      </w:r>
      <w:r>
        <w:rPr>
          <w:rFonts w:eastAsia="等线" w:ascii="Arial" w:cs="Arial" w:hAnsi="Arial"/>
          <w:sz w:val="22"/>
        </w:rPr>
        <w:t>https://open.oceanengine.com/labels/7/docs/1818837922277385?origin=left_nav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下载任务结果：</w:t>
      </w:r>
      <w:r>
        <w:rPr>
          <w:rFonts w:eastAsia="等线" w:ascii="Arial" w:cs="Arial" w:hAnsi="Arial"/>
          <w:sz w:val="22"/>
        </w:rPr>
        <w:t>https://open.oceanengine.com/labels/7/docs/1818838139772251?origin=left_nav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入参条件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90"/>
        <w:gridCol w:w="5940"/>
      </w:tblGrid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必填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代理商账户ID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year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必填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数据年份，如2025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quarter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必填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数据季度，如1,2,3,4（仅支持单个调用）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month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数据月度，如1～12（支持多个同时调用）</w:t>
            </w:r>
          </w:p>
        </w:tc>
      </w:tr>
    </w:tbl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关键字段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70"/>
        <w:gridCol w:w="3240"/>
        <w:gridCol w:w="3720"/>
      </w:tblGrid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维度/指标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代理商帐户ID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agent_group_name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代理商集团名称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period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年月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advertiser_id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广告主ID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advertiser_name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广告主名称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customer_name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客户名称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app_key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投放平台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AD</w:t>
            </w:r>
            <w:r>
              <w:rPr>
                <w:rFonts w:eastAsia="等线" w:ascii="Arial" w:cs="Arial" w:hAnsi="Arial"/>
                <w:sz w:val="22"/>
              </w:rPr>
              <w:t xml:space="preserve"> AD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LOCAL</w:t>
            </w:r>
            <w:r>
              <w:rPr>
                <w:rFonts w:eastAsia="等线" w:ascii="Arial" w:cs="Arial" w:hAnsi="Arial"/>
                <w:sz w:val="22"/>
              </w:rPr>
              <w:t>本地推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high_cost_rebate_amount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优质素材消耗返点金额（单位：元）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first_effective_cost_rebate_amount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首发素材消耗返点金额（单位：元）</w:t>
            </w:r>
          </w:p>
        </w:tc>
      </w:tr>
      <w:tr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34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live_cost_rebate_amount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直播消耗返点金额（单位：元）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客户计返&amp;违规&amp;素材业绩监控</w:t>
      </w:r>
      <w:bookmarkEnd w:id="6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通过返点核算明细API（接口3）及返点明点素材API（接口4）可获取对应类型的业绩消耗，具体如下：</w:t>
            </w:r>
          </w:p>
          <w:tbl>
            <w:tblPr>
              <w:tblW w:w="0" w:type="auto"/>
              <w:tblInd w:w="0" w:type="dxa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  <w:tblLayout w:type="fixed"/>
            </w:tblPr>
            <w:tblGrid>
              <w:gridCol w:w="8040"/>
            </w:tblGrid>
            <w:tr>
              <w:tc>
                <w:tcPr>
                  <w:tcW w:w="8040" w:type="dxa"/>
                  <w:tcBorders>
                    <w:top w:val="nil"/>
                    <w:left w:sz="18" w:val="single" w:color="BBBFC4"/>
                    <w:bottom w:val="nil"/>
                    <w:right w:val="nil"/>
                  </w:tcBorders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color w:val="646a73"/>
                      <w:sz w:val="22"/>
                    </w:rPr>
                    <w:t>返点核算明细API（接口3）可获取「客户计返业绩&amp;违规业绩」明细，根据业绩明细结合返点政策可测算客户or账户维度对应类型的返点金额，返点类型包含「竞价基础&amp;竞价经营（不含付款担保）&amp;品牌基础&amp;品牌季度（不含闭环开屏）」</w:t>
                  </w:r>
                </w:p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color w:val="646a73"/>
                      <w:sz w:val="22"/>
                    </w:rPr>
                    <w:t>返点明点素材API（接口4）可获取「客户素材业绩」明细，且接口可返回客户or账户维度运营返点金额，返点类型包含「竞价运营（首发&amp;优质&amp;直播）」</w:t>
                  </w:r>
                </w:p>
              </w:tc>
            </w:tr>
          </w:tbl>
          <w:p>
            <w:pPr>
              <w:jc w:val="left"/>
            </w:pP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b w:val="true"/>
          <w:sz w:val="28"/>
        </w:rPr>
        <w:t>计返业绩</w:t>
      </w:r>
      <w:bookmarkEnd w:id="7"/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</w:p>
    <w:p>
      <w:pPr>
        <w:numPr>
          <w:numId w:val="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创建下载任务：</w:t>
      </w:r>
      <w:r>
        <w:rPr>
          <w:rFonts w:eastAsia="等线" w:ascii="Arial" w:cs="Arial" w:hAnsi="Arial"/>
          <w:sz w:val="22"/>
        </w:rPr>
        <w:t>https://open.oceanengine.com/labels/7/docs/1812970751420483?origin=left_nav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查询下载任务：</w:t>
      </w:r>
      <w:r>
        <w:rPr>
          <w:rFonts w:eastAsia="等线" w:ascii="Arial" w:cs="Arial" w:hAnsi="Arial"/>
          <w:sz w:val="22"/>
        </w:rPr>
        <w:t>https://open.oceanengine.com/labels/7/docs/1818837922277385?origin=left_nav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下载任务结果：</w:t>
      </w:r>
      <w:r>
        <w:rPr>
          <w:rFonts w:eastAsia="等线" w:ascii="Arial" w:cs="Arial" w:hAnsi="Arial"/>
          <w:sz w:val="22"/>
        </w:rPr>
        <w:t>https://open.oceanengine.com/labels/7/docs/1818838139772251?origin=left_nav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入参条件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75"/>
        <w:gridCol w:w="1800"/>
        <w:gridCol w:w="4155"/>
      </w:tblGrid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字段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代理商帐户id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query_type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quarter_performance_details</w:t>
            </w:r>
            <w:r>
              <w:rPr>
                <w:rFonts w:eastAsia="等线" w:ascii="Arial" w:cs="Arial" w:hAnsi="Arial"/>
                <w:sz w:val="22"/>
              </w:rPr>
              <w:t>业绩明细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filtering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过滤条件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year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结算年份，如2025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month_quarter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结算季度，支持批量，多个用英文逗号隔开，如'1,2,3,4'</w:t>
            </w:r>
          </w:p>
        </w:tc>
      </w:tr>
    </w:tbl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关键字段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020"/>
        <w:gridCol w:w="3345"/>
        <w:gridCol w:w="3465"/>
      </w:tblGrid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维度/指标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rebate_calc_attribution_year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核算业绩归属年度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rebate_calc_attribution_quarter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核算业绩归属季度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rebate_calc_attribution_month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核算业绩归属月度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agent_group_name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代理商集团名称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agent_group_type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代理商集团类型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代理商ID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agent_company_name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代理商公司名称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customer_id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客户ID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customer_name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advertiser_id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广告主ID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project_serial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项目编号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cart_id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排期ID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cart_name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排期名称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intention_no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招商意向编号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intention_name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招商意向名称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merch_no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招商项目编号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merchants_project_name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招商项目名称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product_line_name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招商项目产品线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product_sub_line_name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招商项目子产品线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pricing_category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广告类型名称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投放产品名称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business_type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业务类型名称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cost_source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消耗来源名称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violation_type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违规类型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rebate_valid_clist_name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是否结算周期内特殊客户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ip_type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结算IP类型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spec_brand_product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结算品牌特定产品类型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is_cal_customer_expansion_cost_rebate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是否结算品牌客户拓新返点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appeal_first_industry_name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(季度)汽车政策一级行业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appeal_second_industry_name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(季度)汽车政策二级行业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rebate_calc_first_industry_name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(季度)返点核算结算行业一级名称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rebate_calc_second_industry_name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(季度)返点核算结算行业二级名称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rebate_calc_settlement_stats_type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(季度)返点核算结算行业统计类型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rebate_calc_external_industry_category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(季度)返点核算结算行业外部分类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calc_operation_tag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(季度)核算运营标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is_invalid_cost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(季度)是否剔除返点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invalid_cost_reason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(季度)剔除返点原因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rebate_calc_policy_type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(季度)返点核算政策类型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(季度)披露标签名称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prepay_cost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预付消耗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credit_cost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授信消耗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performance_cost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业绩消耗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违规业绩</w:t>
      </w:r>
      <w:bookmarkEnd w:id="8"/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创建下载任务：</w:t>
      </w:r>
      <w:r>
        <w:rPr>
          <w:rFonts w:eastAsia="等线" w:ascii="Arial" w:cs="Arial" w:hAnsi="Arial"/>
          <w:sz w:val="22"/>
        </w:rPr>
        <w:t>https://open.oceanengine.com/labels/7/docs/1812970751420483?origin=left_nav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查询下载任务：</w:t>
      </w:r>
      <w:r>
        <w:rPr>
          <w:rFonts w:eastAsia="等线" w:ascii="Arial" w:cs="Arial" w:hAnsi="Arial"/>
          <w:sz w:val="22"/>
        </w:rPr>
        <w:t>https://open.oceanengine.com/labels/7/docs/1818837922277385?origin=left_nav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下载任务结果：</w:t>
      </w:r>
      <w:r>
        <w:rPr>
          <w:rFonts w:eastAsia="等线" w:ascii="Arial" w:cs="Arial" w:hAnsi="Arial"/>
          <w:sz w:val="22"/>
        </w:rPr>
        <w:t>https://open.oceanengine.com/labels/7/docs/1818838139772251?origin=left_nav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入参条件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75"/>
        <w:gridCol w:w="1800"/>
        <w:gridCol w:w="4155"/>
      </w:tblGrid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字段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代理商帐户id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query_type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quarter_punish_details</w:t>
            </w:r>
            <w:r>
              <w:rPr>
                <w:rFonts w:eastAsia="等线" w:ascii="Arial" w:cs="Arial" w:hAnsi="Arial"/>
                <w:sz w:val="22"/>
              </w:rPr>
              <w:t>违规明细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filtering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过滤条件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year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结算年份，如2025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month_quarter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结算季度，支持批量，多个用英文逗号隔开，如'1,2,3,4'</w:t>
            </w:r>
          </w:p>
        </w:tc>
      </w:tr>
    </w:tbl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关键字段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050"/>
        <w:gridCol w:w="3075"/>
        <w:gridCol w:w="3705"/>
      </w:tblGrid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维度/指标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rebate_calc_attribution_year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结算年份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rebate_calc_attribution_month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结算周期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agent_group_name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代理商集团名称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agent_company_name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代理商公司名称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customer_name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客户名称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rebate_calc_policy_type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(季度)返点核算政策类型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rebate_calc_type_show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(季度)披露标签名称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violation_type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违规类型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performance_cost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违规业绩消耗 </w:t>
            </w:r>
          </w:p>
        </w:tc>
      </w:tr>
      <w:tr>
        <w:tc>
          <w:tcPr>
            <w:tcW w:w="1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32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rebate_amount</w:t>
            </w:r>
          </w:p>
        </w:tc>
        <w:tc>
          <w:tcPr>
            <w:tcW w:w="39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违规业绩返点（核算明细内返点类型涉及金额）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b w:val="true"/>
          <w:sz w:val="28"/>
        </w:rPr>
        <w:t>素材业绩</w:t>
      </w:r>
      <w:bookmarkEnd w:id="9"/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</w:p>
    <w:p>
      <w:pPr>
        <w:numPr>
          <w:numId w:val="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创建下载任务：</w:t>
      </w:r>
      <w:r>
        <w:rPr>
          <w:rFonts w:eastAsia="等线" w:ascii="Arial" w:cs="Arial" w:hAnsi="Arial"/>
          <w:sz w:val="22"/>
        </w:rPr>
        <w:t>https://open.oceanengine.com/labels/7/docs/1819289415886986?origin=left_nav</w:t>
      </w: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查询下载任务：</w:t>
      </w:r>
      <w:r>
        <w:rPr>
          <w:rFonts w:eastAsia="等线" w:ascii="Arial" w:cs="Arial" w:hAnsi="Arial"/>
          <w:sz w:val="22"/>
        </w:rPr>
        <w:t>https://open.oceanengine.com/labels/7/docs/1818837922277385?origin=left_nav</w:t>
      </w:r>
    </w:p>
    <w:p>
      <w:pPr>
        <w:numPr>
          <w:numId w:val="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下载任务结果：</w:t>
      </w:r>
      <w:r>
        <w:rPr>
          <w:rFonts w:eastAsia="等线" w:ascii="Arial" w:cs="Arial" w:hAnsi="Arial"/>
          <w:sz w:val="22"/>
        </w:rPr>
        <w:t>https://open.oceanengine.com/labels/7/docs/1818838139772251?origin=left_nav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入参条件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90"/>
        <w:gridCol w:w="5940"/>
      </w:tblGrid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必填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代理商账户ID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year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必填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数据年份，如2025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quarter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必填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数据季度，如1,2,3,4（仅支持单个调用）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month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数据月度，如1～12（支持多个同时调用）</w:t>
            </w:r>
          </w:p>
        </w:tc>
      </w:tr>
    </w:tbl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关键字段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540"/>
        <w:gridCol w:w="2775"/>
        <w:gridCol w:w="2265"/>
        <w:gridCol w:w="2265"/>
      </w:tblGrid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维度/指标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备注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代理商帐户ID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agent_group_name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代理商集团名称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period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年月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advertiser_id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广告主ID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明细粒度数据，如果一个素材被多账户搭建使用，则每一个账户会独立返回数据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advertiser_name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广告主名称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operator_tag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运营标签，枚举值：收量/走量/自运营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rebate_calc_policy_type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政策类型，枚举值：综代政策/优代政策/汽车政策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rebate_calc_settlement_stats_type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结算行业统计类型，枚举值：行业类目/引流电商/任务激励/微信加粉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rebate_calc_first_industry_name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一级结算行业</w:t>
            </w:r>
          </w:p>
        </w:tc>
        <w:tc>
          <w:tcPr>
            <w:tcW w:w="238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rebate_calc_second_industry_name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二级结算行业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5"/>
              </w:num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rebate_calc_external_industry_category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竞价分类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customer_name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客户名称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optimizer_name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代理商优化师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agent_sale_name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代理商销售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second_ad_agent_id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二代代理商账户id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is_live_rebate_type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是否直播返点类型，枚举值：是/否</w:t>
            </w:r>
          </w:p>
        </w:tc>
        <w:tc>
          <w:tcPr>
            <w:tcW w:w="238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综代政策下，针对直投直播间 和 </w:t>
            </w:r>
            <w:r>
              <w:rPr>
                <w:rFonts w:eastAsia="等线" w:ascii="Arial" w:cs="Arial" w:hAnsi="Arial"/>
                <w:b w:val="true"/>
                <w:sz w:val="22"/>
              </w:rPr>
              <w:t>部分</w:t>
            </w:r>
            <w:r>
              <w:rPr>
                <w:rFonts w:eastAsia="等线" w:ascii="Arial" w:cs="Arial" w:hAnsi="Arial"/>
                <w:sz w:val="22"/>
              </w:rPr>
              <w:t>短视频引流直播间 的部分给予直播消耗返点。对于is_live_rebate_type等于YES的数据，素材ID可能会返回NULL值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material_id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素材ID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material_tags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素材属性标签，枚举值：优质/低质/首发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is_cut_similar_material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是否同质化挤压，枚举值：是/否</w:t>
            </w:r>
          </w:p>
        </w:tc>
        <w:tc>
          <w:tcPr>
            <w:tcW w:w="238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素材MID+消耗所在日期粒度，如果一个素材某一天出现过同质化挤压/排队，则当天所有消耗认为命中同质化挤压/同质化排队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is_in_similar_material_queue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是否同质化排队，枚举值：是/否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ad_ids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计划id数组,[]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仅通过1.0平台投放的数据返回，通过2.0平台投放的数据返回NULL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cdp_promotion_ids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广告id数组,[]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仅通过2.0平台投放的数据返回，通过1.0平台投放的数据返回NULL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app_key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投放平台，枚举值：AD/本地推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is_cal_high_material_cost_rebate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是否参与计算优质视频素材消耗返点，枚举值：是/否</w:t>
            </w:r>
          </w:p>
        </w:tc>
        <w:tc>
          <w:tcPr>
            <w:tcW w:w="238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综代政策 - 优质素材消耗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invalid_high_material_cost_reason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剔除优质视频消耗指标计算原因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high_material_cost_rebate_rate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优质素材消耗返点比例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is_cal_first_effective_material_cost_rebate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是否参与计算首发视频素材消耗返点，枚举值：是/否</w:t>
            </w:r>
          </w:p>
        </w:tc>
        <w:tc>
          <w:tcPr>
            <w:tcW w:w="238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综代政策 - 首发素材消耗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invalid_first_effective_material_cost_reason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剔除首发视频消耗指标计算原因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first_effective_material_cost_rebate_rate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首发素材消耗返点比例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is_cal_live_material_rebate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是否参与直播返点，枚举值：是/否</w:t>
            </w:r>
          </w:p>
        </w:tc>
        <w:tc>
          <w:tcPr>
            <w:tcW w:w="238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综代政策 - 直播消耗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live_cost_rebate_rate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直播消耗返点比例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is_cal_high_material_cost_rate_molecular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是否作为优质素材消耗占比计算分子，枚举值：是/否</w:t>
            </w:r>
          </w:p>
        </w:tc>
        <w:tc>
          <w:tcPr>
            <w:tcW w:w="238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汽车政策 - 优质素材消耗占比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invalid_high_material_cost_rate_molecular_reason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剔除优质素材消耗占比指标计算分子原因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is_cal_high_material_cost_rate_denominato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是否作为优质素材消耗占比计算分母，枚举值：是/否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invalid_high_material_cost_rate_denominato_reason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剔除优质素材消耗占比指标计算分母原因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high_material_cost_rate_molecular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i w:val="true"/>
                <w:color w:val="8f959e"/>
                <w:sz w:val="22"/>
                <w:shd w:fill="f2f3f5"/>
              </w:rPr>
              <w:t>【政策粒度】</w:t>
            </w:r>
            <w:r>
              <w:rPr>
                <w:rFonts w:eastAsia="等线" w:ascii="Arial" w:cs="Arial" w:hAnsi="Arial"/>
                <w:sz w:val="22"/>
              </w:rPr>
              <w:t>优质素材消耗占比分子（单位：元）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high_material_cost_rate_denominato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i w:val="true"/>
                <w:color w:val="8f959e"/>
                <w:sz w:val="22"/>
                <w:shd w:fill="f2f3f5"/>
              </w:rPr>
              <w:t>【政策粒度】</w:t>
            </w:r>
            <w:r>
              <w:rPr>
                <w:rFonts w:eastAsia="等线" w:ascii="Arial" w:cs="Arial" w:hAnsi="Arial"/>
                <w:sz w:val="22"/>
              </w:rPr>
              <w:t>优质素材消耗占比分母（单位：元）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high_material_cost_rate_metric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优质素材消耗占比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high_material_cost_rate_target_value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优质素材消耗占比目标值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is_cal_first_effective_material_cost_rate_molecular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是否作为首发素材消耗占比计算分子，枚举值：是/否</w:t>
            </w:r>
          </w:p>
        </w:tc>
        <w:tc>
          <w:tcPr>
            <w:tcW w:w="2385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汽车政策 - 首发素材消耗占比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invalid_first_effective_material_cost_rate_molecular_reason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剔除首发素材消耗占比指标计算分子原因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is_cal_first_effective_material_cost_rate_denominato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是否作为首发素材消耗占比计算分母，枚举值：是/否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invalid_first_effective_material_cost_rate_denominato_reason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剔除首发素材消耗占比指标分母计算原因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first_effective_material_cost_rate_molecular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i w:val="true"/>
                <w:color w:val="8f959e"/>
                <w:sz w:val="22"/>
                <w:shd w:fill="f2f3f5"/>
              </w:rPr>
              <w:t>【政策粒度】</w:t>
            </w:r>
            <w:r>
              <w:rPr>
                <w:rFonts w:eastAsia="等线" w:ascii="Arial" w:cs="Arial" w:hAnsi="Arial"/>
                <w:sz w:val="22"/>
              </w:rPr>
              <w:t>首发素材消耗占比分子（单位：元）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first_effective_material_cost_rate_denominato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i w:val="true"/>
                <w:color w:val="8f959e"/>
                <w:sz w:val="22"/>
                <w:shd w:fill="f2f3f5"/>
              </w:rPr>
              <w:t>【政策粒度】</w:t>
            </w:r>
            <w:r>
              <w:rPr>
                <w:rFonts w:eastAsia="等线" w:ascii="Arial" w:cs="Arial" w:hAnsi="Arial"/>
                <w:sz w:val="22"/>
              </w:rPr>
              <w:t>首发素材消耗占比分母（单位：元）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first_effective_material_cost_rate_metric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首发素材消耗占比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first_effective_material_cost_rate_target_value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首发素材消耗占比目标值</w:t>
            </w:r>
          </w:p>
        </w:tc>
        <w:tc>
          <w:tcPr>
            <w:tcW w:w="2385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cost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消耗（单位：元）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现金消耗+赠款消耗</w:t>
            </w:r>
          </w:p>
          <w:p>
            <w:pPr>
              <w:numPr>
                <w:numId w:val="4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u w:val="single"/>
              </w:rPr>
              <w:t>累量基数</w:t>
            </w:r>
            <w:r>
              <w:rPr>
                <w:rFonts w:eastAsia="等线" w:ascii="Arial" w:cs="Arial" w:hAnsi="Arial"/>
                <w:sz w:val="22"/>
              </w:rPr>
              <w:t>，结合【是否作为优质/首发素材消耗占比计算分母/分子】使用（限制YES，求和可分别计算得到对应指标的分子或分母）</w:t>
            </w:r>
          </w:p>
          <w:p>
            <w:pPr>
              <w:numPr>
                <w:numId w:val="4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【汽车政策 - 优质素材消耗占比/首发素材消耗占比】</w:t>
            </w:r>
          </w:p>
          <w:p>
            <w:pPr>
              <w:numPr>
                <w:numId w:val="4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i w:val="true"/>
                <w:color w:val="8f959e"/>
                <w:sz w:val="22"/>
              </w:rPr>
              <w:t>明细粒度可累加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performance_cost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业绩消耗（单位：元）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现金消耗</w:t>
            </w:r>
          </w:p>
          <w:p>
            <w:pPr>
              <w:numPr>
                <w:numId w:val="5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u w:val="single"/>
              </w:rPr>
              <w:t>返点基数</w:t>
            </w:r>
            <w:r>
              <w:rPr>
                <w:rFonts w:eastAsia="等线" w:ascii="Arial" w:cs="Arial" w:hAnsi="Arial"/>
                <w:sz w:val="22"/>
              </w:rPr>
              <w:t>，结合【是否参与计算优质/首发视频素材消耗返点】使用（限制YES，求和可分别计算得到对应指标返点计算依赖的业绩基数）</w:t>
            </w:r>
          </w:p>
          <w:p>
            <w:pPr>
              <w:numPr>
                <w:numId w:val="5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【综代政策 - 优质素材消耗/首发素材消耗/直播消耗】</w:t>
            </w:r>
          </w:p>
          <w:p>
            <w:pPr>
              <w:numPr>
                <w:numId w:val="5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i w:val="true"/>
                <w:color w:val="8f959e"/>
                <w:sz w:val="22"/>
              </w:rPr>
              <w:t>明细粒度可累加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high_cost_rebate_amount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优质素材消耗返点金额（单位：元）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综代政策 - 优质素材消耗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i w:val="true"/>
                <w:color w:val="8f959e"/>
                <w:sz w:val="22"/>
              </w:rPr>
              <w:t>明细粒度可累加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first_effective_cost_rebate_amount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首发素材消耗返点金额（单位：元）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综代政策 - 首发素材消耗</w:t>
            </w:r>
          </w:p>
          <w:p>
            <w:pPr>
              <w:numPr>
                <w:numId w:val="5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i w:val="true"/>
                <w:color w:val="8f959e"/>
                <w:sz w:val="22"/>
              </w:rPr>
              <w:t>明细粒度可累加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25d0"/>
                <w:sz w:val="22"/>
              </w:rPr>
              <w:t>指标</w:t>
            </w:r>
          </w:p>
        </w:tc>
        <w:tc>
          <w:tcPr>
            <w:tcW w:w="29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live_cost_rebate_amount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直播消耗返点金额（单位：元）</w:t>
            </w:r>
          </w:p>
        </w:tc>
        <w:tc>
          <w:tcPr>
            <w:tcW w:w="23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适用于 综代政策 - 直播消耗</w:t>
            </w:r>
          </w:p>
          <w:p>
            <w:pPr>
              <w:numPr>
                <w:numId w:val="5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i w:val="true"/>
                <w:color w:val="8f959e"/>
                <w:sz w:val="22"/>
              </w:rPr>
              <w:t>明细粒度可累加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客户业绩核算标签监控</w:t>
      </w:r>
      <w:bookmarkEnd w:id="10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客户业绩的核算标签与报备标签不一致时可能影响代理返点收入，可通过「</w:t>
            </w:r>
            <w:hyperlink r:id="rId16">
              <w:r>
                <w:rPr>
                  <w:rFonts w:eastAsia="等线" w:ascii="Arial" w:cs="Arial" w:hAnsi="Arial"/>
                  <w:b w:val="true"/>
                  <w:color w:val="3370ff"/>
                  <w:sz w:val="22"/>
                </w:rPr>
                <w:t>广告主账户信息查询</w:t>
              </w:r>
            </w:hyperlink>
            <w:r>
              <w:rPr>
                <w:rFonts w:eastAsia="等线" w:ascii="Arial" w:cs="Arial" w:hAnsi="Arial"/>
                <w:b w:val="true"/>
                <w:sz w:val="22"/>
              </w:rPr>
              <w:t>」接口获取客户的报备标签，并通过返点核算明细API（接口3）获取客户核算标签，实时监控核算标签与报备标签的差异性，若存在不符则重点关注并及时在平台申诉期进行申诉，避免代理商返点损失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b w:val="true"/>
          <w:sz w:val="28"/>
        </w:rPr>
        <w:t>报备标签获取</w:t>
      </w:r>
      <w:bookmarkEnd w:id="11"/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</w:p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>https://open.oceanengine.com/labels/7/docs/1809915654787136?origin=left_nav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入参条件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75"/>
        <w:gridCol w:w="1800"/>
        <w:gridCol w:w="4155"/>
      </w:tblGrid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字段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account_ids</w:t>
            </w:r>
            <w:r>
              <w:rPr>
                <w:rFonts w:eastAsia="等线" w:ascii="Arial" w:cs="Arial" w:hAnsi="Arial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广告主账户id，最多50个</w:t>
            </w:r>
          </w:p>
        </w:tc>
      </w:tr>
    </w:tbl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关键字段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175"/>
        <w:gridCol w:w="1710"/>
        <w:gridCol w:w="3945"/>
      </w:tblGrid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字段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advertiser_id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广告主id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advertiser_name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广告主账户名称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first_industry_name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一级行业名称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second_industry_name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二级行业名称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self_operation_tag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账户报备类型，枚举值：走量/无标签/收量/自运营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first_agent_company_name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一代代理商公司名称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first_agent_company_id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一代代理商公司ID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first_agent_name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一级代理商账户名称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adv_company_name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广告主公司名称</w:t>
            </w:r>
          </w:p>
        </w:tc>
      </w:tr>
      <w:tr>
        <w:tc>
          <w:tcPr>
            <w:tcW w:w="23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adv_company_id</w:t>
            </w:r>
          </w:p>
        </w:tc>
        <w:tc>
          <w:tcPr>
            <w:tcW w:w="18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广告主公司ID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b w:val="true"/>
          <w:sz w:val="28"/>
        </w:rPr>
        <w:t>核算标签获取</w:t>
      </w:r>
      <w:bookmarkEnd w:id="12"/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接口地址</w:t>
      </w:r>
    </w:p>
    <w:p>
      <w:pPr>
        <w:numPr>
          <w:numId w:val="6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创建下载任务：</w:t>
      </w:r>
      <w:r>
        <w:rPr>
          <w:rFonts w:eastAsia="等线" w:ascii="Arial" w:cs="Arial" w:hAnsi="Arial"/>
          <w:sz w:val="22"/>
        </w:rPr>
        <w:t>https://open.oceanengine.com/labels/7/docs/1812970751420483?origin=left_nav</w:t>
      </w:r>
    </w:p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查询下载任务：</w:t>
      </w:r>
      <w:r>
        <w:rPr>
          <w:rFonts w:eastAsia="等线" w:ascii="Arial" w:cs="Arial" w:hAnsi="Arial"/>
          <w:sz w:val="22"/>
        </w:rPr>
        <w:t>https://open.oceanengine.com/labels/7/docs/1818837922277385?origin=left_nav</w:t>
      </w:r>
    </w:p>
    <w:p>
      <w:pPr>
        <w:numPr>
          <w:numId w:val="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下载任务结果：</w:t>
      </w:r>
      <w:r>
        <w:rPr>
          <w:rFonts w:eastAsia="等线" w:ascii="Arial" w:cs="Arial" w:hAnsi="Arial"/>
          <w:sz w:val="22"/>
        </w:rPr>
        <w:t>https://open.oceanengine.com/labels/7/docs/1818838139772251?origin=left_nav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入参条件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75"/>
        <w:gridCol w:w="1800"/>
        <w:gridCol w:w="4155"/>
      </w:tblGrid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字段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代理商帐户id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query_type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quarter_performance_details</w:t>
            </w:r>
            <w:r>
              <w:rPr>
                <w:rFonts w:eastAsia="等线" w:ascii="Arial" w:cs="Arial" w:hAnsi="Arial"/>
                <w:sz w:val="22"/>
              </w:rPr>
              <w:t>业绩明细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filtering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过滤条件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year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number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结算年份，如2025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month_quarter</w:t>
            </w:r>
            <w:r>
              <w:rPr>
                <w:rFonts w:eastAsia="Consolas" w:ascii="Consolas" w:cs="Consolas" w:hAnsi="Consolas"/>
                <w:color w:val="245bdb"/>
                <w:sz w:val="22"/>
                <w:shd w:fill="f2f3f5"/>
              </w:rPr>
              <w:t>必填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结算季度，支持批量，多个用英文逗号隔开，如'1,2,3,4'</w:t>
            </w:r>
          </w:p>
        </w:tc>
      </w:tr>
    </w:tbl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关键字段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020"/>
        <w:gridCol w:w="3345"/>
        <w:gridCol w:w="3465"/>
      </w:tblGrid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维度/指标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描述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rebate_calc_attribution_year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核算业绩归属年度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rebate_calc_attribution_quarter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核算业绩归属季度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rebate_calc_attribution_month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核算业绩归属月度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agent_group_name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代理商集团名称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agent_group_type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代理商集团类型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agent_id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代理商ID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agent_company_name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代理商公司名称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customer_id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客户ID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customer_name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advertiser_id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广告主ID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advertiser_name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广告主名称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project_serial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项目编号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pricing_category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广告类型名称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投放产品名称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business_type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业务类型名称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cost_source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消耗来源名称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appeal_first_industry_name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(季度)汽车政策一级行业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appeal_second_industry_name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(季度)汽车政策二级行业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rebate_calc_first_industry_name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(季度)返点核算结算行业一级名称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rebate_calc_second_industry_name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(季度)返点核算结算行业二级名称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rebate_calc_settlement_stats_type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(季度)返点核算结算行业统计类型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rebate_calc_external_industry_category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(季度)返点核算结算行业外部分类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calc_operation_tag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(季度)核算运营标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45bdb"/>
                <w:sz w:val="22"/>
              </w:rPr>
              <w:t>维度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rebate_calc_type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(季度)披露标签名称</w:t>
            </w:r>
          </w:p>
        </w:tc>
      </w:tr>
      <w:tr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2ea121"/>
                <w:sz w:val="22"/>
              </w:rPr>
              <w:t>指标</w:t>
            </w:r>
          </w:p>
        </w:tc>
        <w:tc>
          <w:tcPr>
            <w:tcW w:w="35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performance_cost</w:t>
            </w:r>
          </w:p>
        </w:tc>
        <w:tc>
          <w:tcPr>
            <w:tcW w:w="367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业绩消耗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客户毛利率测算</w:t>
      </w:r>
      <w:bookmarkEnd w:id="13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利用上述返点收入统计、客户业绩监控等功能，结合代理对客政策，可实现客户毛利率测算，毛利率测算公式 =（固定返点金额+浮动返点金额-对客返点金额）/ 客户总业绩</w:t>
            </w:r>
          </w:p>
        </w:tc>
      </w:tr>
    </w:tbl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固定返点金额测算</w:t>
      </w:r>
      <w:r>
        <w:rPr>
          <w:rFonts w:eastAsia="等线" w:ascii="Arial" w:cs="Arial" w:hAnsi="Arial"/>
          <w:sz w:val="22"/>
        </w:rPr>
        <w:t>：利用客户计返&amp;违规业绩明细，结合平台年度返点政策比例进行测算，如针对竞价五类-自运营类目下，客户竞价基础返点金额 =（客户计返业绩-客户违规扣罚业绩）*1%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浮动返点金额测算</w:t>
      </w:r>
      <w:r>
        <w:rPr>
          <w:rFonts w:eastAsia="等线" w:ascii="Arial" w:cs="Arial" w:hAnsi="Arial"/>
          <w:sz w:val="22"/>
        </w:rPr>
        <w:t>：利用客户素材业绩明细可进行测算，如客户优质素材消耗返点金额=优质视频素材总消耗*优质素材消耗返点比例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对客返点金额测算</w:t>
      </w:r>
      <w:r>
        <w:rPr>
          <w:rFonts w:eastAsia="等线" w:ascii="Arial" w:cs="Arial" w:hAnsi="Arial"/>
          <w:sz w:val="22"/>
        </w:rPr>
        <w:t>：利用客户计返业绩明细，结合代理对客政策比例进行测算，如针对客户的政策为按消耗返1%，则对客返点金额=客户总计返业绩*1%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客户总业绩</w:t>
      </w:r>
      <w:r>
        <w:rPr>
          <w:rFonts w:eastAsia="等线" w:ascii="Arial" w:cs="Arial" w:hAnsi="Arial"/>
          <w:sz w:val="22"/>
        </w:rPr>
        <w:t>：客户总业绩即等于客户计返业绩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4" w:id="14"/>
      <w:r>
        <w:rPr>
          <w:rFonts w:eastAsia="等线" w:ascii="Arial" w:cs="Arial" w:hAnsi="Arial"/>
          <w:b w:val="true"/>
          <w:sz w:val="36"/>
        </w:rPr>
        <w:t>案例</w:t>
      </w:r>
      <w:bookmarkEnd w:id="14"/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067"/>
        <w:gridCol w:w="4212"/>
      </w:tblGrid>
      <w:tr>
        <w:tc>
          <w:tcPr>
            <w:tcW w:w="406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28875" cy="136207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14600" cy="1371600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86"/>
        <w:gridCol w:w="4093"/>
      </w:tblGrid>
      <w:tr>
        <w:tc>
          <w:tcPr>
            <w:tcW w:w="418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05075" cy="1323975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38400" cy="1371600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1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28525">
    <w:lvl>
      <w:numFmt w:val="bullet"/>
      <w:suff w:val="tab"/>
      <w:lvlText w:val="•"/>
      <w:rPr>
        <w:color w:val="3370ff"/>
      </w:rPr>
    </w:lvl>
  </w:abstractNum>
  <w:abstractNum w:abstractNumId="128526">
    <w:lvl>
      <w:numFmt w:val="bullet"/>
      <w:suff w:val="tab"/>
      <w:lvlText w:val="•"/>
      <w:rPr>
        <w:color w:val="3370ff"/>
      </w:rPr>
    </w:lvl>
  </w:abstractNum>
  <w:abstractNum w:abstractNumId="128527">
    <w:lvl>
      <w:numFmt w:val="bullet"/>
      <w:suff w:val="tab"/>
      <w:lvlText w:val="•"/>
      <w:rPr>
        <w:color w:val="3370ff"/>
      </w:rPr>
    </w:lvl>
  </w:abstractNum>
  <w:abstractNum w:abstractNumId="128528">
    <w:lvl>
      <w:start w:val="1"/>
      <w:numFmt w:val="decimal"/>
      <w:suff w:val="tab"/>
      <w:lvlText w:val="%1."/>
      <w:rPr>
        <w:color w:val="3370ff"/>
      </w:rPr>
    </w:lvl>
  </w:abstractNum>
  <w:abstractNum w:abstractNumId="128529">
    <w:lvl>
      <w:start w:val="1"/>
      <w:numFmt w:val="lowerLetter"/>
      <w:suff w:val="tab"/>
      <w:lvlText w:val="%1."/>
      <w:rPr>
        <w:color w:val="3370ff"/>
      </w:rPr>
    </w:lvl>
  </w:abstractNum>
  <w:abstractNum w:abstractNumId="128530">
    <w:lvl>
      <w:start w:val="2"/>
      <w:numFmt w:val="lowerLetter"/>
      <w:suff w:val="tab"/>
      <w:lvlText w:val="%1."/>
      <w:rPr>
        <w:color w:val="3370ff"/>
      </w:rPr>
    </w:lvl>
  </w:abstractNum>
  <w:abstractNum w:abstractNumId="128531">
    <w:lvl>
      <w:start w:val="3"/>
      <w:numFmt w:val="lowerLetter"/>
      <w:suff w:val="tab"/>
      <w:lvlText w:val="%1."/>
      <w:rPr>
        <w:color w:val="3370ff"/>
      </w:rPr>
    </w:lvl>
  </w:abstractNum>
  <w:abstractNum w:abstractNumId="128532">
    <w:lvl>
      <w:start w:val="2"/>
      <w:numFmt w:val="decimal"/>
      <w:suff w:val="tab"/>
      <w:lvlText w:val="%1."/>
      <w:rPr>
        <w:color w:val="3370ff"/>
      </w:rPr>
    </w:lvl>
  </w:abstractNum>
  <w:abstractNum w:abstractNumId="128533">
    <w:lvl>
      <w:start w:val="3"/>
      <w:numFmt w:val="decimal"/>
      <w:suff w:val="tab"/>
      <w:lvlText w:val="%1."/>
      <w:rPr>
        <w:color w:val="3370ff"/>
      </w:rPr>
    </w:lvl>
  </w:abstractNum>
  <w:abstractNum w:abstractNumId="128534">
    <w:lvl>
      <w:start w:val="1"/>
      <w:numFmt w:val="decimal"/>
      <w:suff w:val="tab"/>
      <w:lvlText w:val="%1."/>
      <w:rPr>
        <w:color w:val="3370ff"/>
      </w:rPr>
    </w:lvl>
  </w:abstractNum>
  <w:abstractNum w:abstractNumId="128535">
    <w:lvl>
      <w:start w:val="1"/>
      <w:numFmt w:val="lowerLetter"/>
      <w:suff w:val="tab"/>
      <w:lvlText w:val="%1."/>
      <w:rPr>
        <w:color w:val="3370ff"/>
      </w:rPr>
    </w:lvl>
  </w:abstractNum>
  <w:abstractNum w:abstractNumId="128536">
    <w:lvl>
      <w:start w:val="2"/>
      <w:numFmt w:val="lowerLetter"/>
      <w:suff w:val="tab"/>
      <w:lvlText w:val="%1."/>
      <w:rPr>
        <w:color w:val="3370ff"/>
      </w:rPr>
    </w:lvl>
  </w:abstractNum>
  <w:abstractNum w:abstractNumId="128537">
    <w:lvl>
      <w:start w:val="3"/>
      <w:numFmt w:val="lowerLetter"/>
      <w:suff w:val="tab"/>
      <w:lvlText w:val="%1."/>
      <w:rPr>
        <w:color w:val="3370ff"/>
      </w:rPr>
    </w:lvl>
  </w:abstractNum>
  <w:abstractNum w:abstractNumId="128538">
    <w:lvl>
      <w:start w:val="2"/>
      <w:numFmt w:val="decimal"/>
      <w:suff w:val="tab"/>
      <w:lvlText w:val="%1."/>
      <w:rPr>
        <w:color w:val="3370ff"/>
      </w:rPr>
    </w:lvl>
  </w:abstractNum>
  <w:abstractNum w:abstractNumId="128539">
    <w:lvl>
      <w:start w:val="3"/>
      <w:numFmt w:val="decimal"/>
      <w:suff w:val="tab"/>
      <w:lvlText w:val="%1."/>
      <w:rPr>
        <w:color w:val="3370ff"/>
      </w:rPr>
    </w:lvl>
  </w:abstractNum>
  <w:abstractNum w:abstractNumId="128540">
    <w:lvl>
      <w:start w:val="1"/>
      <w:numFmt w:val="decimal"/>
      <w:suff w:val="tab"/>
      <w:lvlText w:val="%1."/>
      <w:rPr>
        <w:color w:val="3370ff"/>
      </w:rPr>
    </w:lvl>
  </w:abstractNum>
  <w:abstractNum w:abstractNumId="128541">
    <w:lvl>
      <w:start w:val="1"/>
      <w:numFmt w:val="lowerLetter"/>
      <w:suff w:val="tab"/>
      <w:lvlText w:val="%1."/>
      <w:rPr>
        <w:color w:val="3370ff"/>
      </w:rPr>
    </w:lvl>
  </w:abstractNum>
  <w:abstractNum w:abstractNumId="128542">
    <w:lvl>
      <w:start w:val="2"/>
      <w:numFmt w:val="lowerLetter"/>
      <w:suff w:val="tab"/>
      <w:lvlText w:val="%1."/>
      <w:rPr>
        <w:color w:val="3370ff"/>
      </w:rPr>
    </w:lvl>
  </w:abstractNum>
  <w:abstractNum w:abstractNumId="128543">
    <w:lvl>
      <w:start w:val="3"/>
      <w:numFmt w:val="lowerLetter"/>
      <w:suff w:val="tab"/>
      <w:lvlText w:val="%1."/>
      <w:rPr>
        <w:color w:val="3370ff"/>
      </w:rPr>
    </w:lvl>
  </w:abstractNum>
  <w:abstractNum w:abstractNumId="128544">
    <w:lvl>
      <w:start w:val="2"/>
      <w:numFmt w:val="decimal"/>
      <w:suff w:val="tab"/>
      <w:lvlText w:val="%1."/>
      <w:rPr>
        <w:color w:val="3370ff"/>
      </w:rPr>
    </w:lvl>
  </w:abstractNum>
  <w:abstractNum w:abstractNumId="128545">
    <w:lvl>
      <w:start w:val="3"/>
      <w:numFmt w:val="decimal"/>
      <w:suff w:val="tab"/>
      <w:lvlText w:val="%1."/>
      <w:rPr>
        <w:color w:val="3370ff"/>
      </w:rPr>
    </w:lvl>
  </w:abstractNum>
  <w:abstractNum w:abstractNumId="128546">
    <w:lvl>
      <w:start w:val="1"/>
      <w:numFmt w:val="decimal"/>
      <w:suff w:val="tab"/>
      <w:lvlText w:val="%1."/>
      <w:rPr>
        <w:color w:val="3370ff"/>
      </w:rPr>
    </w:lvl>
  </w:abstractNum>
  <w:abstractNum w:abstractNumId="128547">
    <w:lvl>
      <w:start w:val="1"/>
      <w:numFmt w:val="lowerLetter"/>
      <w:suff w:val="tab"/>
      <w:lvlText w:val="%1."/>
      <w:rPr>
        <w:color w:val="3370ff"/>
      </w:rPr>
    </w:lvl>
  </w:abstractNum>
  <w:abstractNum w:abstractNumId="128548">
    <w:lvl>
      <w:start w:val="2"/>
      <w:numFmt w:val="lowerLetter"/>
      <w:suff w:val="tab"/>
      <w:lvlText w:val="%1."/>
      <w:rPr>
        <w:color w:val="3370ff"/>
      </w:rPr>
    </w:lvl>
  </w:abstractNum>
  <w:abstractNum w:abstractNumId="128549">
    <w:lvl>
      <w:start w:val="3"/>
      <w:numFmt w:val="lowerLetter"/>
      <w:suff w:val="tab"/>
      <w:lvlText w:val="%1."/>
      <w:rPr>
        <w:color w:val="3370ff"/>
      </w:rPr>
    </w:lvl>
  </w:abstractNum>
  <w:abstractNum w:abstractNumId="128550">
    <w:lvl>
      <w:start w:val="2"/>
      <w:numFmt w:val="decimal"/>
      <w:suff w:val="tab"/>
      <w:lvlText w:val="%1."/>
      <w:rPr>
        <w:color w:val="3370ff"/>
      </w:rPr>
    </w:lvl>
  </w:abstractNum>
  <w:abstractNum w:abstractNumId="128551">
    <w:lvl>
      <w:start w:val="3"/>
      <w:numFmt w:val="decimal"/>
      <w:suff w:val="tab"/>
      <w:lvlText w:val="%1."/>
      <w:rPr>
        <w:color w:val="3370ff"/>
      </w:rPr>
    </w:lvl>
  </w:abstractNum>
  <w:abstractNum w:abstractNumId="128552">
    <w:lvl>
      <w:start w:val="1"/>
      <w:numFmt w:val="decimal"/>
      <w:suff w:val="tab"/>
      <w:lvlText w:val="%1."/>
      <w:rPr>
        <w:color w:val="3370ff"/>
      </w:rPr>
    </w:lvl>
  </w:abstractNum>
  <w:abstractNum w:abstractNumId="128553">
    <w:lvl>
      <w:start w:val="1"/>
      <w:numFmt w:val="lowerLetter"/>
      <w:suff w:val="tab"/>
      <w:lvlText w:val="%1."/>
      <w:rPr>
        <w:color w:val="3370ff"/>
      </w:rPr>
    </w:lvl>
  </w:abstractNum>
  <w:abstractNum w:abstractNumId="128554">
    <w:lvl>
      <w:start w:val="2"/>
      <w:numFmt w:val="lowerLetter"/>
      <w:suff w:val="tab"/>
      <w:lvlText w:val="%1."/>
      <w:rPr>
        <w:color w:val="3370ff"/>
      </w:rPr>
    </w:lvl>
  </w:abstractNum>
  <w:abstractNum w:abstractNumId="128555">
    <w:lvl>
      <w:start w:val="3"/>
      <w:numFmt w:val="lowerLetter"/>
      <w:suff w:val="tab"/>
      <w:lvlText w:val="%1."/>
      <w:rPr>
        <w:color w:val="3370ff"/>
      </w:rPr>
    </w:lvl>
  </w:abstractNum>
  <w:abstractNum w:abstractNumId="128556">
    <w:lvl>
      <w:start w:val="2"/>
      <w:numFmt w:val="decimal"/>
      <w:suff w:val="tab"/>
      <w:lvlText w:val="%1."/>
      <w:rPr>
        <w:color w:val="3370ff"/>
      </w:rPr>
    </w:lvl>
  </w:abstractNum>
  <w:abstractNum w:abstractNumId="128557">
    <w:lvl>
      <w:start w:val="3"/>
      <w:numFmt w:val="decimal"/>
      <w:suff w:val="tab"/>
      <w:lvlText w:val="%1."/>
      <w:rPr>
        <w:color w:val="3370ff"/>
      </w:rPr>
    </w:lvl>
  </w:abstractNum>
  <w:abstractNum w:abstractNumId="128558">
    <w:lvl>
      <w:numFmt w:val="bullet"/>
      <w:suff w:val="tab"/>
      <w:lvlText w:val="•"/>
      <w:rPr>
        <w:color w:val="3370ff"/>
      </w:rPr>
    </w:lvl>
  </w:abstractNum>
  <w:abstractNum w:abstractNumId="128559">
    <w:lvl>
      <w:numFmt w:val="bullet"/>
      <w:suff w:val="tab"/>
      <w:lvlText w:val="•"/>
      <w:rPr>
        <w:color w:val="3370ff"/>
      </w:rPr>
    </w:lvl>
  </w:abstractNum>
  <w:abstractNum w:abstractNumId="128560">
    <w:lvl>
      <w:numFmt w:val="bullet"/>
      <w:suff w:val="tab"/>
      <w:lvlText w:val="•"/>
      <w:rPr>
        <w:color w:val="3370ff"/>
      </w:rPr>
    </w:lvl>
  </w:abstractNum>
  <w:abstractNum w:abstractNumId="128561">
    <w:lvl>
      <w:numFmt w:val="bullet"/>
      <w:suff w:val="tab"/>
      <w:lvlText w:val="•"/>
      <w:rPr>
        <w:color w:val="3370ff"/>
      </w:rPr>
    </w:lvl>
  </w:abstractNum>
  <w:abstractNum w:abstractNumId="128562">
    <w:lvl>
      <w:numFmt w:val="bullet"/>
      <w:suff w:val="tab"/>
      <w:lvlText w:val="•"/>
      <w:rPr>
        <w:color w:val="3370ff"/>
      </w:rPr>
    </w:lvl>
  </w:abstractNum>
  <w:abstractNum w:abstractNumId="128563">
    <w:lvl>
      <w:numFmt w:val="bullet"/>
      <w:suff w:val="tab"/>
      <w:lvlText w:val="•"/>
      <w:rPr>
        <w:color w:val="3370ff"/>
      </w:rPr>
    </w:lvl>
  </w:abstractNum>
  <w:abstractNum w:abstractNumId="128564">
    <w:lvl>
      <w:numFmt w:val="bullet"/>
      <w:suff w:val="tab"/>
      <w:lvlText w:val="•"/>
      <w:rPr>
        <w:color w:val="3370ff"/>
      </w:rPr>
    </w:lvl>
  </w:abstractNum>
  <w:abstractNum w:abstractNumId="128565">
    <w:lvl>
      <w:numFmt w:val="bullet"/>
      <w:suff w:val="tab"/>
      <w:lvlText w:val="•"/>
      <w:rPr>
        <w:color w:val="3370ff"/>
      </w:rPr>
    </w:lvl>
  </w:abstractNum>
  <w:abstractNum w:abstractNumId="128566">
    <w:lvl>
      <w:numFmt w:val="bullet"/>
      <w:suff w:val="tab"/>
      <w:lvlText w:val="•"/>
      <w:rPr>
        <w:color w:val="3370ff"/>
      </w:rPr>
    </w:lvl>
  </w:abstractNum>
  <w:abstractNum w:abstractNumId="128567">
    <w:lvl>
      <w:numFmt w:val="bullet"/>
      <w:suff w:val="tab"/>
      <w:lvlText w:val="•"/>
      <w:rPr>
        <w:color w:val="3370ff"/>
      </w:rPr>
    </w:lvl>
  </w:abstractNum>
  <w:abstractNum w:abstractNumId="128568">
    <w:lvl>
      <w:numFmt w:val="bullet"/>
      <w:suff w:val="tab"/>
      <w:lvlText w:val="•"/>
      <w:rPr>
        <w:color w:val="3370ff"/>
      </w:rPr>
    </w:lvl>
  </w:abstractNum>
  <w:abstractNum w:abstractNumId="128569">
    <w:lvl>
      <w:numFmt w:val="bullet"/>
      <w:suff w:val="tab"/>
      <w:lvlText w:val="•"/>
      <w:rPr>
        <w:color w:val="3370ff"/>
      </w:rPr>
    </w:lvl>
  </w:abstractNum>
  <w:abstractNum w:abstractNumId="128570">
    <w:lvl>
      <w:numFmt w:val="bullet"/>
      <w:suff w:val="tab"/>
      <w:lvlText w:val="•"/>
      <w:rPr>
        <w:color w:val="3370ff"/>
      </w:rPr>
    </w:lvl>
  </w:abstractNum>
  <w:abstractNum w:abstractNumId="128571">
    <w:lvl>
      <w:numFmt w:val="bullet"/>
      <w:suff w:val="tab"/>
      <w:lvlText w:val="•"/>
      <w:rPr>
        <w:color w:val="3370ff"/>
      </w:rPr>
    </w:lvl>
  </w:abstractNum>
  <w:abstractNum w:abstractNumId="128572">
    <w:lvl>
      <w:numFmt w:val="bullet"/>
      <w:suff w:val="tab"/>
      <w:lvlText w:val="•"/>
      <w:rPr>
        <w:color w:val="3370ff"/>
      </w:rPr>
    </w:lvl>
  </w:abstractNum>
  <w:abstractNum w:abstractNumId="128573">
    <w:lvl>
      <w:numFmt w:val="bullet"/>
      <w:suff w:val="tab"/>
      <w:lvlText w:val="•"/>
      <w:rPr>
        <w:color w:val="3370ff"/>
      </w:rPr>
    </w:lvl>
  </w:abstractNum>
  <w:abstractNum w:abstractNumId="128574">
    <w:lvl>
      <w:numFmt w:val="bullet"/>
      <w:suff w:val="tab"/>
      <w:lvlText w:val="•"/>
      <w:rPr>
        <w:color w:val="3370ff"/>
      </w:rPr>
    </w:lvl>
  </w:abstractNum>
  <w:abstractNum w:abstractNumId="128575">
    <w:lvl>
      <w:numFmt w:val="bullet"/>
      <w:suff w:val="tab"/>
      <w:lvlText w:val="•"/>
      <w:rPr>
        <w:color w:val="3370ff"/>
      </w:rPr>
    </w:lvl>
  </w:abstractNum>
  <w:abstractNum w:abstractNumId="128576">
    <w:lvl>
      <w:numFmt w:val="bullet"/>
      <w:suff w:val="tab"/>
      <w:lvlText w:val="•"/>
      <w:rPr>
        <w:color w:val="3370ff"/>
      </w:rPr>
    </w:lvl>
  </w:abstractNum>
  <w:abstractNum w:abstractNumId="128577">
    <w:lvl>
      <w:numFmt w:val="bullet"/>
      <w:suff w:val="tab"/>
      <w:lvlText w:val="•"/>
      <w:rPr>
        <w:color w:val="3370ff"/>
      </w:rPr>
    </w:lvl>
  </w:abstractNum>
  <w:abstractNum w:abstractNumId="128578">
    <w:lvl>
      <w:numFmt w:val="bullet"/>
      <w:suff w:val="tab"/>
      <w:lvlText w:val="•"/>
      <w:rPr>
        <w:color w:val="3370ff"/>
      </w:rPr>
    </w:lvl>
  </w:abstractNum>
  <w:abstractNum w:abstractNumId="128579">
    <w:lvl>
      <w:numFmt w:val="bullet"/>
      <w:suff w:val="tab"/>
      <w:lvlText w:val="•"/>
      <w:rPr>
        <w:color w:val="3370ff"/>
      </w:rPr>
    </w:lvl>
  </w:abstractNum>
  <w:abstractNum w:abstractNumId="128580">
    <w:lvl>
      <w:numFmt w:val="bullet"/>
      <w:suff w:val="tab"/>
      <w:lvlText w:val="•"/>
      <w:rPr>
        <w:color w:val="3370ff"/>
      </w:rPr>
    </w:lvl>
  </w:abstractNum>
  <w:abstractNum w:abstractNumId="128581">
    <w:lvl>
      <w:numFmt w:val="bullet"/>
      <w:suff w:val="tab"/>
      <w:lvlText w:val="•"/>
      <w:rPr>
        <w:color w:val="3370ff"/>
      </w:rPr>
    </w:lvl>
  </w:abstractNum>
  <w:abstractNum w:abstractNumId="128582">
    <w:lvl>
      <w:numFmt w:val="bullet"/>
      <w:suff w:val="tab"/>
      <w:lvlText w:val="•"/>
      <w:rPr>
        <w:color w:val="3370ff"/>
      </w:rPr>
    </w:lvl>
  </w:abstractNum>
  <w:abstractNum w:abstractNumId="128583">
    <w:lvl>
      <w:start w:val="1"/>
      <w:numFmt w:val="decimal"/>
      <w:suff w:val="tab"/>
      <w:lvlText w:val="%1."/>
      <w:rPr>
        <w:color w:val="3370ff"/>
      </w:rPr>
    </w:lvl>
  </w:abstractNum>
  <w:abstractNum w:abstractNumId="128584">
    <w:lvl>
      <w:start w:val="2"/>
      <w:numFmt w:val="decimal"/>
      <w:suff w:val="tab"/>
      <w:lvlText w:val="%1."/>
      <w:rPr>
        <w:color w:val="3370ff"/>
      </w:rPr>
    </w:lvl>
  </w:abstractNum>
  <w:abstractNum w:abstractNumId="128585">
    <w:lvl>
      <w:start w:val="3"/>
      <w:numFmt w:val="decimal"/>
      <w:suff w:val="tab"/>
      <w:lvlText w:val="%1."/>
      <w:rPr>
        <w:color w:val="3370ff"/>
      </w:rPr>
    </w:lvl>
  </w:abstractNum>
  <w:abstractNum w:abstractNumId="128586">
    <w:lvl>
      <w:start w:val="1"/>
      <w:numFmt w:val="decimal"/>
      <w:suff w:val="tab"/>
      <w:lvlText w:val="%1."/>
      <w:rPr>
        <w:color w:val="3370ff"/>
      </w:rPr>
    </w:lvl>
  </w:abstractNum>
  <w:abstractNum w:abstractNumId="128587">
    <w:lvl>
      <w:start w:val="1"/>
      <w:numFmt w:val="lowerLetter"/>
      <w:suff w:val="tab"/>
      <w:lvlText w:val="%1."/>
      <w:rPr>
        <w:color w:val="3370ff"/>
      </w:rPr>
    </w:lvl>
  </w:abstractNum>
  <w:abstractNum w:abstractNumId="128588">
    <w:lvl>
      <w:start w:val="2"/>
      <w:numFmt w:val="lowerLetter"/>
      <w:suff w:val="tab"/>
      <w:lvlText w:val="%1."/>
      <w:rPr>
        <w:color w:val="3370ff"/>
      </w:rPr>
    </w:lvl>
  </w:abstractNum>
  <w:abstractNum w:abstractNumId="128589">
    <w:lvl>
      <w:start w:val="3"/>
      <w:numFmt w:val="lowerLetter"/>
      <w:suff w:val="tab"/>
      <w:lvlText w:val="%1."/>
      <w:rPr>
        <w:color w:val="3370ff"/>
      </w:rPr>
    </w:lvl>
  </w:abstractNum>
  <w:abstractNum w:abstractNumId="128590">
    <w:lvl>
      <w:start w:val="2"/>
      <w:numFmt w:val="decimal"/>
      <w:suff w:val="tab"/>
      <w:lvlText w:val="%1."/>
      <w:rPr>
        <w:color w:val="3370ff"/>
      </w:rPr>
    </w:lvl>
  </w:abstractNum>
  <w:abstractNum w:abstractNumId="128591">
    <w:lvl>
      <w:start w:val="3"/>
      <w:numFmt w:val="decimal"/>
      <w:suff w:val="tab"/>
      <w:lvlText w:val="%1."/>
      <w:rPr>
        <w:color w:val="3370ff"/>
      </w:rPr>
    </w:lvl>
  </w:abstractNum>
  <w:abstractNum w:abstractNumId="128592">
    <w:lvl>
      <w:start w:val="1"/>
      <w:numFmt w:val="decimal"/>
      <w:suff w:val="tab"/>
      <w:lvlText w:val="%1."/>
      <w:rPr>
        <w:color w:val="3370ff"/>
      </w:rPr>
    </w:lvl>
  </w:abstractNum>
  <w:abstractNum w:abstractNumId="128593">
    <w:lvl>
      <w:start w:val="2"/>
      <w:numFmt w:val="decimal"/>
      <w:suff w:val="tab"/>
      <w:lvlText w:val="%1."/>
      <w:rPr>
        <w:color w:val="3370ff"/>
      </w:rPr>
    </w:lvl>
  </w:abstractNum>
  <w:abstractNum w:abstractNumId="128594">
    <w:lvl>
      <w:start w:val="3"/>
      <w:numFmt w:val="decimal"/>
      <w:suff w:val="tab"/>
      <w:lvlText w:val="%1."/>
      <w:rPr>
        <w:color w:val="3370ff"/>
      </w:rPr>
    </w:lvl>
  </w:abstractNum>
  <w:abstractNum w:abstractNumId="128595">
    <w:lvl>
      <w:start w:val="4"/>
      <w:numFmt w:val="decimal"/>
      <w:suff w:val="tab"/>
      <w:lvlText w:val="%1."/>
      <w:rPr>
        <w:color w:val="3370ff"/>
      </w:rPr>
    </w:lvl>
  </w:abstractNum>
  <w:num w:numId="1">
    <w:abstractNumId w:val="128525"/>
  </w:num>
  <w:num w:numId="2">
    <w:abstractNumId w:val="128526"/>
  </w:num>
  <w:num w:numId="3">
    <w:abstractNumId w:val="128527"/>
  </w:num>
  <w:num w:numId="4">
    <w:abstractNumId w:val="128528"/>
  </w:num>
  <w:num w:numId="5">
    <w:abstractNumId w:val="128529"/>
  </w:num>
  <w:num w:numId="6">
    <w:abstractNumId w:val="128530"/>
  </w:num>
  <w:num w:numId="7">
    <w:abstractNumId w:val="128531"/>
  </w:num>
  <w:num w:numId="8">
    <w:abstractNumId w:val="128532"/>
  </w:num>
  <w:num w:numId="9">
    <w:abstractNumId w:val="128533"/>
  </w:num>
  <w:num w:numId="10">
    <w:abstractNumId w:val="128534"/>
  </w:num>
  <w:num w:numId="11">
    <w:abstractNumId w:val="128535"/>
  </w:num>
  <w:num w:numId="12">
    <w:abstractNumId w:val="128536"/>
  </w:num>
  <w:num w:numId="13">
    <w:abstractNumId w:val="128537"/>
  </w:num>
  <w:num w:numId="14">
    <w:abstractNumId w:val="128538"/>
  </w:num>
  <w:num w:numId="15">
    <w:abstractNumId w:val="128539"/>
  </w:num>
  <w:num w:numId="16">
    <w:abstractNumId w:val="128540"/>
  </w:num>
  <w:num w:numId="17">
    <w:abstractNumId w:val="128541"/>
  </w:num>
  <w:num w:numId="18">
    <w:abstractNumId w:val="128542"/>
  </w:num>
  <w:num w:numId="19">
    <w:abstractNumId w:val="128543"/>
  </w:num>
  <w:num w:numId="20">
    <w:abstractNumId w:val="128544"/>
  </w:num>
  <w:num w:numId="21">
    <w:abstractNumId w:val="128545"/>
  </w:num>
  <w:num w:numId="22">
    <w:abstractNumId w:val="128546"/>
  </w:num>
  <w:num w:numId="23">
    <w:abstractNumId w:val="128547"/>
  </w:num>
  <w:num w:numId="24">
    <w:abstractNumId w:val="128548"/>
  </w:num>
  <w:num w:numId="25">
    <w:abstractNumId w:val="128549"/>
  </w:num>
  <w:num w:numId="26">
    <w:abstractNumId w:val="128550"/>
  </w:num>
  <w:num w:numId="27">
    <w:abstractNumId w:val="128551"/>
  </w:num>
  <w:num w:numId="28">
    <w:abstractNumId w:val="128552"/>
  </w:num>
  <w:num w:numId="29">
    <w:abstractNumId w:val="128553"/>
  </w:num>
  <w:num w:numId="30">
    <w:abstractNumId w:val="128554"/>
  </w:num>
  <w:num w:numId="31">
    <w:abstractNumId w:val="128555"/>
  </w:num>
  <w:num w:numId="32">
    <w:abstractNumId w:val="128556"/>
  </w:num>
  <w:num w:numId="33">
    <w:abstractNumId w:val="128557"/>
  </w:num>
  <w:num w:numId="34">
    <w:abstractNumId w:val="128558"/>
  </w:num>
  <w:num w:numId="35">
    <w:abstractNumId w:val="128559"/>
  </w:num>
  <w:num w:numId="36">
    <w:abstractNumId w:val="128560"/>
  </w:num>
  <w:num w:numId="37">
    <w:abstractNumId w:val="128561"/>
  </w:num>
  <w:num w:numId="38">
    <w:abstractNumId w:val="128562"/>
  </w:num>
  <w:num w:numId="39">
    <w:abstractNumId w:val="128563"/>
  </w:num>
  <w:num w:numId="40">
    <w:abstractNumId w:val="128564"/>
  </w:num>
  <w:num w:numId="41">
    <w:abstractNumId w:val="128565"/>
  </w:num>
  <w:num w:numId="42">
    <w:abstractNumId w:val="128566"/>
  </w:num>
  <w:num w:numId="43">
    <w:abstractNumId w:val="128567"/>
  </w:num>
  <w:num w:numId="44">
    <w:abstractNumId w:val="128568"/>
  </w:num>
  <w:num w:numId="45">
    <w:abstractNumId w:val="128569"/>
  </w:num>
  <w:num w:numId="46">
    <w:abstractNumId w:val="128570"/>
  </w:num>
  <w:num w:numId="47">
    <w:abstractNumId w:val="128571"/>
  </w:num>
  <w:num w:numId="48">
    <w:abstractNumId w:val="128572"/>
  </w:num>
  <w:num w:numId="49">
    <w:abstractNumId w:val="128573"/>
  </w:num>
  <w:num w:numId="50">
    <w:abstractNumId w:val="128574"/>
  </w:num>
  <w:num w:numId="51">
    <w:abstractNumId w:val="128575"/>
  </w:num>
  <w:num w:numId="52">
    <w:abstractNumId w:val="128576"/>
  </w:num>
  <w:num w:numId="53">
    <w:abstractNumId w:val="128577"/>
  </w:num>
  <w:num w:numId="54">
    <w:abstractNumId w:val="128578"/>
  </w:num>
  <w:num w:numId="55">
    <w:abstractNumId w:val="128579"/>
  </w:num>
  <w:num w:numId="56">
    <w:abstractNumId w:val="128580"/>
  </w:num>
  <w:num w:numId="57">
    <w:abstractNumId w:val="128581"/>
  </w:num>
  <w:num w:numId="58">
    <w:abstractNumId w:val="128582"/>
  </w:num>
  <w:num w:numId="59">
    <w:abstractNumId w:val="128583"/>
  </w:num>
  <w:num w:numId="60">
    <w:abstractNumId w:val="128584"/>
  </w:num>
  <w:num w:numId="61">
    <w:abstractNumId w:val="128585"/>
  </w:num>
  <w:num w:numId="62">
    <w:abstractNumId w:val="128586"/>
  </w:num>
  <w:num w:numId="63">
    <w:abstractNumId w:val="128587"/>
  </w:num>
  <w:num w:numId="64">
    <w:abstractNumId w:val="128588"/>
  </w:num>
  <w:num w:numId="65">
    <w:abstractNumId w:val="128589"/>
  </w:num>
  <w:num w:numId="66">
    <w:abstractNumId w:val="128590"/>
  </w:num>
  <w:num w:numId="67">
    <w:abstractNumId w:val="128591"/>
  </w:num>
  <w:num w:numId="68">
    <w:abstractNumId w:val="128592"/>
  </w:num>
  <w:num w:numId="69">
    <w:abstractNumId w:val="128593"/>
  </w:num>
  <w:num w:numId="70">
    <w:abstractNumId w:val="128594"/>
  </w:num>
  <w:num w:numId="71">
    <w:abstractNumId w:val="12859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s://bytedance.larkoffice.com/docx/UyVVd0it6o2J7wxsGFLcRIUWnId" TargetMode="External" Type="http://schemas.openxmlformats.org/officeDocument/2006/relationships/hyperlink"/><Relationship Id="rId11" Target="numbering.xml" Type="http://schemas.openxmlformats.org/officeDocument/2006/relationships/numbering"/><Relationship Id="rId12" Target="media/image6.png" Type="http://schemas.openxmlformats.org/officeDocument/2006/relationships/image"/><Relationship Id="rId13" Target="https://bytedance.larkoffice.com/docx/EBETdc8IIonmWoxWYJ7c1dNtndg" TargetMode="External" Type="http://schemas.openxmlformats.org/officeDocument/2006/relationships/hyperlink"/><Relationship Id="rId14" Target="media/image7.png" Type="http://schemas.openxmlformats.org/officeDocument/2006/relationships/image"/><Relationship Id="rId15" Target="https://bytedance.larkoffice.com/docx/Lhl7dU9vNowuySxFZIWcErgynCf" TargetMode="External" Type="http://schemas.openxmlformats.org/officeDocument/2006/relationships/hyperlink"/><Relationship Id="rId16" Target="https://open.oceanengine.com/labels/7/docs/1809915654787136?origin=left_nav" TargetMode="External" Type="http://schemas.openxmlformats.org/officeDocument/2006/relationships/hyperlink"/><Relationship Id="rId17" Target="media/image8.png" Type="http://schemas.openxmlformats.org/officeDocument/2006/relationships/image"/><Relationship Id="rId18" Target="media/image9.png" Type="http://schemas.openxmlformats.org/officeDocument/2006/relationships/image"/><Relationship Id="rId19" Target="media/image10.png" Type="http://schemas.openxmlformats.org/officeDocument/2006/relationships/image"/><Relationship Id="rId2" Target="styles.xml" Type="http://schemas.openxmlformats.org/officeDocument/2006/relationships/styles"/><Relationship Id="rId20" Target="media/image11.png" Type="http://schemas.openxmlformats.org/officeDocument/2006/relationships/image"/><Relationship Id="rId21" Target="header1.xml" Type="http://schemas.openxmlformats.org/officeDocument/2006/relationships/header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https://bytedance.larkoffice.com/docx/UyVVd0it6o2J7wxsGFLcRIUWnId" TargetMode="External" Type="http://schemas.openxmlformats.org/officeDocument/2006/relationships/hyperlink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2025-10-15T01:46:19Z</dcterms:created>
  <dc:creator>Apache POI</dc:creator>
</cp:coreProperties>
</file>